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tabs>
          <w:tab w:val="clear" w:pos="708"/>
          <w:tab w:val="left" w:pos="4710" w:leader="none"/>
        </w:tabs>
        <w:spacing w:lineRule="auto" w:line="240" w:before="0" w:after="0"/>
        <w:ind w:hanging="0" w:left="0"/>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MUNICIPALIDAD DE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4"/>
        <w:rPr>
          <w:rFonts w:ascii="Tahoma" w:hAnsi="Tahoma" w:eastAsia="Times New Roman" w:cs="Times New Roman"/>
          <w:b/>
          <w:color w:val="000000"/>
          <w:sz w:val="24"/>
          <w:szCs w:val="20"/>
          <w:lang w:eastAsia="es-ES"/>
        </w:rPr>
      </w:pPr>
      <w:r>
        <w:rPr>
          <w:rFonts w:eastAsia="Times New Roman" w:cs="Times New Roman" w:ascii="Tahoma" w:hAnsi="Tahoma"/>
          <w:b/>
          <w:color w:val="000000"/>
          <w:sz w:val="24"/>
          <w:szCs w:val="20"/>
          <w:lang w:eastAsia="es-ES"/>
        </w:rPr>
        <w:t>COMPRA DIRECTA</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rPr>
        <w:t>EXPTE. Nº  2169/2025   RES. Nº 500/25</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7"/>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rPr>
        <w:t xml:space="preserve">OBJETO: </w:t>
      </w:r>
      <w:r>
        <w:rPr>
          <w:rFonts w:eastAsia="Times New Roman" w:cs="Tahoma" w:ascii="Tahoma" w:hAnsi="Tahoma"/>
          <w:sz w:val="24"/>
          <w:szCs w:val="24"/>
          <w:lang w:eastAsia="es-ES"/>
        </w:rPr>
        <w:t xml:space="preserve">ADQUISICION DE MATERIALES P/ </w:t>
      </w:r>
      <w:r>
        <w:rPr>
          <w:rFonts w:cs="Tahoma" w:ascii="Tahoma" w:hAnsi="Tahoma"/>
          <w:sz w:val="24"/>
          <w:szCs w:val="24"/>
        </w:rPr>
        <w:t>RED DISTRIBUIDORA DE AGUA UBICADA EN LA PROLONGACION DE LA CALLE SANTA FE DE TULUMAYA</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rPr>
        <w:t xml:space="preserve">FECHA DE APERTURA: </w:t>
      </w:r>
      <w:r>
        <w:rPr>
          <w:rFonts w:eastAsia="Times New Roman" w:cs="Times New Roman" w:ascii="Tahoma" w:hAnsi="Tahoma"/>
          <w:b w:val="false"/>
          <w:bCs w:val="false"/>
          <w:sz w:val="24"/>
          <w:szCs w:val="24"/>
          <w:lang w:eastAsia="es-ES"/>
        </w:rPr>
        <w:t xml:space="preserve">19 </w:t>
      </w:r>
      <w:r>
        <w:rPr>
          <w:rFonts w:eastAsia="Times New Roman" w:cs="Times New Roman" w:ascii="Tahoma" w:hAnsi="Tahoma"/>
          <w:sz w:val="24"/>
          <w:szCs w:val="24"/>
          <w:lang w:eastAsia="es-ES"/>
        </w:rPr>
        <w:t>DE MAYO DE 2025 A LAS 11:00 HORAS</w:t>
      </w:r>
    </w:p>
    <w:p>
      <w:pPr>
        <w:pStyle w:val="Normal"/>
        <w:pBdr>
          <w:top w:val="double" w:sz="4" w:space="0" w:color="800000"/>
          <w:left w:val="double" w:sz="4" w:space="4" w:color="800000"/>
          <w:bottom w:val="double" w:sz="4" w:space="24" w:color="800000"/>
          <w:right w:val="double" w:sz="4" w:space="4" w:color="800000"/>
        </w:pBdr>
        <w:spacing w:lineRule="auto" w:line="240" w:before="0" w:after="0"/>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rPr>
      </w:pPr>
      <w:r>
        <w:rPr>
          <w:rFonts w:eastAsia="Times New Roman" w:cs="Times New Roman" w:ascii="Tahoma" w:hAnsi="Tahoma"/>
          <w:b/>
          <w:sz w:val="24"/>
          <w:szCs w:val="24"/>
          <w:lang w:eastAsia="es-ES"/>
        </w:rPr>
        <w:t xml:space="preserve">PRESUPUESTO OFICIAL: </w:t>
      </w:r>
      <w:r>
        <w:rPr>
          <w:rFonts w:eastAsia="Times New Roman" w:cs="Times New Roman" w:ascii="Tahoma" w:hAnsi="Tahoma"/>
          <w:sz w:val="24"/>
          <w:szCs w:val="24"/>
          <w:lang w:eastAsia="es-ES"/>
        </w:rPr>
        <w:t>$ 5.000.560,00</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rPr>
      </w:pPr>
      <w:r>
        <w:rPr>
          <w:rFonts w:eastAsia="Times New Roman" w:cs="Times New Roman" w:ascii="Tahoma" w:hAnsi="Tahoma"/>
          <w:b/>
          <w:sz w:val="24"/>
          <w:szCs w:val="24"/>
          <w:lang w:eastAsia="es-ES"/>
        </w:rPr>
        <w:t xml:space="preserve">LUGAR: </w:t>
      </w:r>
      <w:r>
        <w:rPr>
          <w:rFonts w:eastAsia="Times New Roman" w:cs="Times New Roman" w:ascii="Tahoma" w:hAnsi="Tahoma"/>
          <w:sz w:val="24"/>
          <w:szCs w:val="24"/>
          <w:lang w:eastAsia="es-ES"/>
        </w:rPr>
        <w:t>OFICINA DE LICITACIONES</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rPr>
      </w:pPr>
      <w:r>
        <w:rPr>
          <w:rFonts w:eastAsia="Times New Roman" w:cs="Times New Roman" w:ascii="Tahoma" w:hAnsi="Tahoma"/>
          <w:sz w:val="24"/>
          <w:szCs w:val="24"/>
          <w:lang w:eastAsia="es-ES"/>
        </w:rPr>
        <w:t>MUNICIPALIDAD DE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rPr>
        <w:t>BELTRAN 37, 1º PISO-VILLA TULUMAYA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ind w:firstLine="2835"/>
        <w:jc w:val="right"/>
        <w:rPr>
          <w:rFonts w:ascii="Times New Roman" w:hAnsi="Times New Roman" w:eastAsia="Calibri" w:cs="Times New Roman"/>
          <w:i/>
          <w:i/>
          <w:sz w:val="24"/>
          <w:szCs w:val="24"/>
        </w:rPr>
      </w:pPr>
      <w:r>
        <w:rPr>
          <w:rFonts w:eastAsia="Calibri" w:cs="Times New Roman" w:ascii="Times New Roman" w:hAnsi="Times New Roman"/>
          <w:i/>
          <w:sz w:val="24"/>
          <w:szCs w:val="24"/>
        </w:rPr>
        <w:t>Lavalle, 14 de Mayo de 2025.-</w:t>
      </w:r>
    </w:p>
    <w:p>
      <w:pPr>
        <w:pStyle w:val="Normal"/>
        <w:jc w:val="right"/>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jc w:val="right"/>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rPr>
          <w:rFonts w:ascii="Times New Roman" w:hAnsi="Times New Roman" w:eastAsia="Calibri" w:cs="Times New Roman"/>
          <w:b/>
          <w:i/>
          <w:i/>
          <w:sz w:val="24"/>
          <w:szCs w:val="24"/>
        </w:rPr>
      </w:pPr>
      <w:r>
        <w:rPr>
          <w:rFonts w:eastAsia="Calibri" w:cs="Times New Roman" w:ascii="Times New Roman" w:hAnsi="Times New Roman"/>
          <w:b/>
          <w:i/>
          <w:sz w:val="24"/>
          <w:szCs w:val="24"/>
        </w:rPr>
        <w:t>Señor/es…………</w:t>
      </w:r>
    </w:p>
    <w:p>
      <w:pPr>
        <w:pStyle w:val="Normal"/>
        <w:rPr>
          <w:rFonts w:ascii="Times New Roman" w:hAnsi="Times New Roman" w:eastAsia="Calibri" w:cs="Times New Roman"/>
          <w:b/>
          <w:i/>
          <w:i/>
          <w:sz w:val="24"/>
          <w:szCs w:val="24"/>
        </w:rPr>
      </w:pPr>
      <w:r>
        <w:rPr>
          <w:rFonts w:eastAsia="Calibri" w:cs="Times New Roman" w:ascii="Times New Roman" w:hAnsi="Times New Roman"/>
          <w:b/>
          <w:i/>
          <w:sz w:val="24"/>
          <w:szCs w:val="24"/>
          <w:u w:val="single"/>
        </w:rPr>
        <w:t>P R E S E N T E</w:t>
      </w:r>
    </w:p>
    <w:p>
      <w:pPr>
        <w:pStyle w:val="Normal"/>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spacing w:lineRule="auto" w:line="360"/>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spacing w:lineRule="auto" w:line="360"/>
        <w:jc w:val="both"/>
        <w:rPr>
          <w:rFonts w:ascii="Times New Roman" w:hAnsi="Times New Roman" w:eastAsia="Calibri" w:cs="Times New Roman"/>
          <w:i/>
          <w:i/>
          <w:sz w:val="24"/>
          <w:szCs w:val="24"/>
        </w:rPr>
      </w:pPr>
      <w:r>
        <w:rPr>
          <w:rFonts w:eastAsia="Calibri" w:cs="Times New Roman" w:ascii="Times New Roman" w:hAnsi="Times New Roman"/>
          <w:i/>
          <w:sz w:val="24"/>
          <w:szCs w:val="24"/>
        </w:rPr>
        <w:tab/>
        <w:tab/>
        <w:tab/>
        <w:tab/>
        <w:t xml:space="preserve">Tenemos el agrado de invitarle/s a participar en la Compra Directa  para la </w:t>
      </w:r>
      <w:r>
        <w:rPr>
          <w:rFonts w:eastAsia="Times New Roman" w:cs="Times New Roman" w:ascii="Times New Roman" w:hAnsi="Times New Roman"/>
          <w:i/>
          <w:sz w:val="24"/>
          <w:szCs w:val="24"/>
          <w:lang w:eastAsia="es-ES"/>
        </w:rPr>
        <w:t xml:space="preserve">ADQUISICION DE MATERIALES P/ </w:t>
      </w:r>
      <w:r>
        <w:rPr>
          <w:rFonts w:cs="Times New Roman" w:ascii="Times New Roman" w:hAnsi="Times New Roman"/>
          <w:i/>
          <w:sz w:val="24"/>
          <w:szCs w:val="24"/>
        </w:rPr>
        <w:t>RED DISTRIBUIDORA DE AGUA UBICADA EN LA PROLONGACION DE LA CALLE SANTA FE DE TULUMAYA</w:t>
      </w:r>
      <w:r>
        <w:rPr>
          <w:rFonts w:eastAsia="Calibri" w:cs="Times New Roman" w:ascii="Times New Roman" w:hAnsi="Times New Roman"/>
          <w:i/>
          <w:sz w:val="24"/>
          <w:szCs w:val="24"/>
        </w:rPr>
        <w:t>, cuya apertura tendrá lugar el día 19 de Mayo de 2025 a las 11:00 horas.-</w:t>
      </w:r>
    </w:p>
    <w:p>
      <w:pPr>
        <w:pStyle w:val="Normal"/>
        <w:spacing w:lineRule="auto" w:line="360"/>
        <w:jc w:val="both"/>
        <w:rPr>
          <w:rFonts w:ascii="Times New Roman" w:hAnsi="Times New Roman" w:eastAsia="Calibri" w:cs="Times New Roman"/>
          <w:i/>
          <w:i/>
          <w:sz w:val="24"/>
          <w:szCs w:val="24"/>
        </w:rPr>
      </w:pPr>
      <w:r>
        <w:rPr>
          <w:rFonts w:eastAsia="Calibri" w:cs="Times New Roman" w:ascii="Times New Roman" w:hAnsi="Times New Roman"/>
          <w:i/>
          <w:sz w:val="24"/>
          <w:szCs w:val="24"/>
        </w:rPr>
        <w:tab/>
        <w:tab/>
        <w:tab/>
        <w:tab/>
        <w:t>A tal efecto acompañamos un ejemplar de los Pliegos de Condiciones Generales y Particulares de la misma.</w:t>
      </w:r>
    </w:p>
    <w:p>
      <w:pPr>
        <w:pStyle w:val="Normal"/>
        <w:spacing w:lineRule="auto" w:line="360"/>
        <w:jc w:val="both"/>
        <w:rPr>
          <w:rFonts w:ascii="Times New Roman" w:hAnsi="Times New Roman" w:eastAsia="Calibri" w:cs="Times New Roman"/>
          <w:i/>
          <w:i/>
          <w:sz w:val="24"/>
          <w:szCs w:val="24"/>
        </w:rPr>
      </w:pPr>
      <w:r>
        <w:rPr>
          <w:rFonts w:eastAsia="Calibri" w:cs="Times New Roman" w:ascii="Times New Roman" w:hAnsi="Times New Roman"/>
          <w:i/>
          <w:sz w:val="24"/>
          <w:szCs w:val="24"/>
        </w:rPr>
        <w:tab/>
        <w:tab/>
        <w:tab/>
        <w:tab/>
      </w:r>
    </w:p>
    <w:p>
      <w:pPr>
        <w:pStyle w:val="Normal"/>
        <w:jc w:val="both"/>
        <w:rPr>
          <w:rFonts w:ascii="Times New Roman" w:hAnsi="Times New Roman" w:eastAsia="Calibri" w:cs="Times New Roman"/>
          <w:sz w:val="24"/>
          <w:szCs w:val="24"/>
        </w:rPr>
      </w:pPr>
      <w:r>
        <w:rPr>
          <w:rFonts w:eastAsia="Calibri" w:cs="Times New Roman" w:ascii="Times New Roman" w:hAnsi="Times New Roman"/>
          <w:i/>
          <w:sz w:val="24"/>
          <w:szCs w:val="24"/>
        </w:rPr>
        <w:tab/>
        <w:tab/>
        <w:tab/>
        <w:tab/>
        <w:t>Sin otro motivo le/s saludamos muy atentamente.</w:t>
      </w:r>
    </w:p>
    <w:p>
      <w:pPr>
        <w:pStyle w:val="Normal"/>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jc w:val="center"/>
        <w:rPr>
          <w:rFonts w:ascii="Tahoma" w:hAnsi="Tahoma" w:eastAsia="Times New Roman" w:cs="Tahoma"/>
          <w:b/>
          <w:szCs w:val="24"/>
          <w:lang w:val="es-ES_tradnl" w:eastAsia="es-ES"/>
        </w:rPr>
      </w:pPr>
      <w:r>
        <w:rPr>
          <w:rFonts w:eastAsia="Times New Roman" w:cs="Times New Roman" w:ascii="Tahoma" w:hAnsi="Tahoma"/>
          <w:b/>
          <w:sz w:val="24"/>
          <w:szCs w:val="24"/>
          <w:lang w:eastAsia="es-ES"/>
        </w:rPr>
        <w:t>PLIEGO DE CONDICIONES PARTICULARES</w:t>
      </w:r>
    </w:p>
    <w:p>
      <w:pPr>
        <w:pStyle w:val="Normal"/>
        <w:spacing w:lineRule="auto" w:line="240" w:before="0" w:after="0"/>
        <w:jc w:val="both"/>
        <w:rPr>
          <w:rFonts w:ascii="Tahoma" w:hAnsi="Tahoma" w:eastAsia="Times New Roman" w:cs="Tahoma"/>
          <w:b/>
          <w:szCs w:val="24"/>
          <w:lang w:val="es-ES_tradnl" w:eastAsia="es-ES"/>
        </w:rPr>
      </w:pPr>
      <w:r>
        <w:rPr>
          <w:rFonts w:eastAsia="Times New Roman" w:cs="Tahoma" w:ascii="Tahoma" w:hAnsi="Tahoma"/>
          <w:b/>
          <w:szCs w:val="24"/>
          <w:lang w:val="es-ES_tradnl" w:eastAsia="es-ES"/>
        </w:rPr>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b/>
          <w:szCs w:val="24"/>
          <w:lang w:val="es-ES_tradnl" w:eastAsia="es-ES"/>
        </w:rPr>
        <w:t xml:space="preserve">Artículo 1 - </w:t>
      </w:r>
      <w:r>
        <w:rPr>
          <w:rFonts w:eastAsia="Times New Roman" w:cs="Tahoma" w:ascii="Tahoma" w:hAnsi="Tahoma"/>
          <w:b/>
          <w:i/>
          <w:szCs w:val="24"/>
          <w:lang w:val="es-ES_tradnl" w:eastAsia="es-ES"/>
        </w:rPr>
        <w:t xml:space="preserve"> Objeto:  </w:t>
      </w:r>
      <w:r>
        <w:rPr>
          <w:rFonts w:eastAsia="Times New Roman" w:cs="Tahoma" w:ascii="Tahoma" w:hAnsi="Tahoma"/>
          <w:szCs w:val="24"/>
          <w:lang w:val="es-ES_tradnl" w:eastAsia="es-ES"/>
        </w:rPr>
        <w:t xml:space="preserve"> La presente Licitación tiene por objeto la </w:t>
      </w:r>
      <w:r>
        <w:rPr>
          <w:rFonts w:eastAsia="Times New Roman" w:cs="Tahoma" w:ascii="Tahoma" w:hAnsi="Tahoma"/>
          <w:lang w:eastAsia="es-ES"/>
        </w:rPr>
        <w:t xml:space="preserve">ADQUISICION DE MATERIALES P/ </w:t>
      </w:r>
      <w:r>
        <w:rPr>
          <w:rFonts w:cs="Tahoma" w:ascii="Tahoma" w:hAnsi="Tahoma"/>
        </w:rPr>
        <w:t>RED DISTRIBUIDORA DE AGUA UBICADA EN LA PROLONGACION DE LA CALLE SANTA FE DE TULUMAYA</w:t>
      </w:r>
      <w:r>
        <w:rPr>
          <w:rFonts w:eastAsia="Times New Roman" w:cs="Times New Roman" w:ascii="Tahoma" w:hAnsi="Tahoma"/>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eastAsia="Times New Roman" w:cs="Times New Roman" w:ascii="Tahoma" w:hAnsi="Tahoma"/>
          <w:szCs w:val="24"/>
          <w:lang w:val="es-ES_tradnl" w:eastAsia="es-ES"/>
        </w:rPr>
        <w:t xml:space="preserve"> </w:t>
      </w:r>
      <w:r>
        <w:rPr>
          <w:rFonts w:eastAsia="Times New Roman" w:cs="Tahoma" w:ascii="Tahoma" w:hAnsi="Tahoma"/>
          <w:szCs w:val="24"/>
          <w:lang w:val="es-ES_tradnl" w:eastAsia="es-ES"/>
        </w:rPr>
        <w:t>de acuerdo con el Expediente Nº 2169/2025, Resolución Nº 500/25.-</w:t>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szCs w:val="24"/>
          <w:lang w:val="es-ES_tradnl" w:eastAsia="es-ES"/>
        </w:rPr>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b/>
          <w:szCs w:val="24"/>
          <w:lang w:val="es-ES_tradnl" w:eastAsia="es-ES"/>
        </w:rPr>
        <w:t xml:space="preserve">Artículo 2 – </w:t>
      </w:r>
      <w:r>
        <w:rPr>
          <w:rFonts w:eastAsia="Times New Roman" w:cs="Tahoma" w:ascii="Tahoma" w:hAnsi="Tahoma"/>
          <w:b/>
          <w:i/>
          <w:szCs w:val="24"/>
          <w:lang w:val="es-ES_tradnl" w:eastAsia="es-ES"/>
        </w:rPr>
        <w:t xml:space="preserve">Fecha y hora de apertura:  </w:t>
      </w:r>
      <w:r>
        <w:rPr>
          <w:rFonts w:eastAsia="Times New Roman" w:cs="Tahoma" w:ascii="Tahoma" w:hAnsi="Tahoma"/>
          <w:szCs w:val="24"/>
          <w:lang w:val="es-ES_tradnl" w:eastAsia="es-ES"/>
        </w:rPr>
        <w:t xml:space="preserve">Se fija  el día 19 de Mayo de 2025 a las              11:00 horas para el acto de apertura de las propuestas, en la Oficina de Compras y Suministros de la Municipalidad de Lavalle, Beltrán 37, 1º Piso, Villa Tulumaya, Lavalle, </w:t>
      </w:r>
      <w:r>
        <w:rPr>
          <w:rFonts w:eastAsia="Times New Roman" w:cs="Tahoma" w:ascii="Tahoma" w:hAnsi="Tahoma"/>
          <w:b/>
          <w:bCs/>
          <w:szCs w:val="24"/>
          <w:lang w:val="es-ES_tradnl" w:eastAsia="es-ES"/>
        </w:rPr>
        <w:t>no recibiéndose ninguna propuesta pasada la hora establecida.-</w:t>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szCs w:val="24"/>
          <w:lang w:val="es-ES_tradnl" w:eastAsia="es-ES"/>
        </w:rPr>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b/>
          <w:szCs w:val="24"/>
          <w:lang w:val="es-ES_tradnl" w:eastAsia="es-ES"/>
        </w:rPr>
        <w:t xml:space="preserve">Artículo 3 – </w:t>
      </w:r>
      <w:r>
        <w:rPr>
          <w:rFonts w:eastAsia="Times New Roman" w:cs="Tahoma" w:ascii="Tahoma" w:hAnsi="Tahoma"/>
          <w:b/>
          <w:i/>
          <w:iCs/>
          <w:szCs w:val="24"/>
          <w:lang w:val="es-ES_tradnl" w:eastAsia="es-ES"/>
        </w:rPr>
        <w:t>Descripción</w:t>
      </w:r>
      <w:r>
        <w:rPr>
          <w:rFonts w:eastAsia="Times New Roman" w:cs="Tahoma" w:ascii="Tahoma" w:hAnsi="Tahoma"/>
          <w:b/>
          <w:i/>
          <w:szCs w:val="24"/>
          <w:lang w:val="es-ES_tradnl" w:eastAsia="es-ES"/>
        </w:rPr>
        <w:t xml:space="preserve">: </w:t>
      </w:r>
      <w:r>
        <w:rPr>
          <w:rFonts w:eastAsia="Times New Roman" w:cs="Tahoma" w:ascii="Tahoma" w:hAnsi="Tahoma"/>
          <w:szCs w:val="24"/>
          <w:lang w:val="es-ES_tradnl" w:eastAsia="es-ES"/>
        </w:rPr>
        <w:t>Los ítems a adquirir se detallan en el formulario de cotización que forma parte de los presentes pliegos.</w:t>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szCs w:val="24"/>
          <w:lang w:val="es-ES_tradnl" w:eastAsia="es-ES"/>
        </w:rPr>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b/>
          <w:szCs w:val="24"/>
          <w:lang w:val="es-ES_tradnl" w:eastAsia="es-ES"/>
        </w:rPr>
        <w:t xml:space="preserve">Artículo 4 – </w:t>
      </w:r>
      <w:r>
        <w:rPr>
          <w:rFonts w:eastAsia="Times New Roman" w:cs="Tahoma" w:ascii="Tahoma" w:hAnsi="Tahoma"/>
          <w:b/>
          <w:i/>
          <w:szCs w:val="24"/>
          <w:lang w:val="es-ES_tradnl" w:eastAsia="es-ES"/>
        </w:rPr>
        <w:t xml:space="preserve">Calidad:  </w:t>
      </w:r>
      <w:r>
        <w:rPr>
          <w:rFonts w:eastAsia="Times New Roman" w:cs="Tahoma" w:ascii="Tahoma" w:hAnsi="Tahoma"/>
          <w:szCs w:val="24"/>
          <w:lang w:val="es-ES_tradnl" w:eastAsia="es-ES"/>
        </w:rPr>
        <w:t xml:space="preserve">Todos los materiales cotizados deberán ser de primera calidad, debiendo indicar la marca de los mismos en el formulario de cotización. </w:t>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szCs w:val="24"/>
          <w:lang w:val="es-ES_tradnl" w:eastAsia="es-ES"/>
        </w:rPr>
      </w:r>
    </w:p>
    <w:p>
      <w:pPr>
        <w:pStyle w:val="Normal"/>
        <w:spacing w:before="0" w:after="0"/>
        <w:jc w:val="both"/>
        <w:rPr>
          <w:rFonts w:ascii="Tahoma" w:hAnsi="Tahoma"/>
        </w:rPr>
      </w:pPr>
      <w:r>
        <w:rPr>
          <w:rFonts w:ascii="Tahoma" w:hAnsi="Tahoma"/>
          <w:b/>
        </w:rPr>
        <w:t xml:space="preserve">Artículo 5 - </w:t>
      </w:r>
      <w:r>
        <w:rPr>
          <w:rFonts w:ascii="Tahoma" w:hAnsi="Tahoma"/>
          <w:b/>
          <w:i/>
        </w:rPr>
        <w:t>Garantía de oferta:</w:t>
      </w:r>
      <w:r>
        <w:rPr>
          <w:rFonts w:ascii="Tahoma" w:hAnsi="Tahoma"/>
        </w:rPr>
        <w:t xml:space="preserve"> La propuesta deberá estar afianzada por una garantía de oferta, la que no podrá ser inferior al Uno por ciento (1%) del Presupuesto Oficial y deberá constituirse mediante cualquiera de los siguientes valores:</w:t>
      </w:r>
    </w:p>
    <w:p>
      <w:pPr>
        <w:pStyle w:val="Normal"/>
        <w:numPr>
          <w:ilvl w:val="0"/>
          <w:numId w:val="1"/>
        </w:numPr>
        <w:spacing w:lineRule="auto" w:line="240" w:before="0" w:after="0"/>
        <w:jc w:val="both"/>
        <w:rPr>
          <w:rFonts w:ascii="Tahoma" w:hAnsi="Tahoma"/>
        </w:rPr>
      </w:pPr>
      <w:r>
        <w:rPr>
          <w:rFonts w:ascii="Tahoma" w:hAnsi="Tahoma"/>
        </w:rPr>
        <w:t>dinero en efectivo, que deberá depositarse en Tesorería municipal;</w:t>
      </w:r>
    </w:p>
    <w:p>
      <w:pPr>
        <w:pStyle w:val="Normal"/>
        <w:numPr>
          <w:ilvl w:val="0"/>
          <w:numId w:val="1"/>
        </w:numPr>
        <w:spacing w:lineRule="auto" w:line="240" w:before="0" w:after="0"/>
        <w:jc w:val="both"/>
        <w:rPr>
          <w:rFonts w:ascii="Tahoma" w:hAnsi="Tahoma"/>
        </w:rPr>
      </w:pPr>
      <w:r>
        <w:rPr>
          <w:rFonts w:ascii="Tahoma" w:hAnsi="Tahoma"/>
        </w:rPr>
        <w:t>fianza bancaria;</w:t>
      </w:r>
    </w:p>
    <w:p>
      <w:pPr>
        <w:pStyle w:val="Normal"/>
        <w:numPr>
          <w:ilvl w:val="0"/>
          <w:numId w:val="1"/>
        </w:numPr>
        <w:spacing w:lineRule="auto" w:line="240" w:before="0" w:after="0"/>
        <w:jc w:val="both"/>
        <w:rPr>
          <w:rFonts w:ascii="Tahoma" w:hAnsi="Tahoma"/>
        </w:rPr>
      </w:pPr>
      <w:r>
        <w:rPr>
          <w:rFonts w:ascii="Tahoma" w:hAnsi="Tahoma"/>
        </w:rPr>
        <w:t>seguro de caución.</w:t>
      </w:r>
    </w:p>
    <w:p>
      <w:pPr>
        <w:pStyle w:val="Normal"/>
        <w:spacing w:lineRule="auto" w:line="240" w:before="0" w:after="0"/>
        <w:ind w:left="1065"/>
        <w:jc w:val="both"/>
        <w:rPr>
          <w:rFonts w:ascii="Tahoma" w:hAnsi="Tahoma"/>
        </w:rPr>
      </w:pPr>
      <w:r>
        <w:rPr>
          <w:rFonts w:ascii="Tahoma" w:hAnsi="Tahoma"/>
        </w:rPr>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szCs w:val="24"/>
          <w:lang w:val="es-ES_tradnl" w:eastAsia="es-ES"/>
        </w:rPr>
      </w:r>
    </w:p>
    <w:p>
      <w:pPr>
        <w:pStyle w:val="Normal"/>
        <w:jc w:val="both"/>
        <w:rPr>
          <w:rFonts w:ascii="Tahoma" w:hAnsi="Tahoma" w:cs="Tahoma"/>
          <w:b/>
          <w:u w:val="single"/>
        </w:rPr>
      </w:pPr>
      <w:r>
        <w:rPr>
          <w:rFonts w:cs="Tahoma" w:ascii="Tahoma" w:hAnsi="Tahoma"/>
          <w:b/>
        </w:rPr>
        <w:t>Artículo 6 –</w:t>
      </w:r>
      <w:r>
        <w:rPr>
          <w:rFonts w:cs="Tahoma" w:ascii="Tahoma" w:hAnsi="Tahoma"/>
          <w:b/>
          <w:i/>
        </w:rPr>
        <w:t xml:space="preserve"> Contenido del sobre:  </w:t>
      </w:r>
      <w:r>
        <w:rPr>
          <w:rFonts w:cs="Tahoma" w:ascii="Tahoma" w:hAnsi="Tahoma"/>
        </w:rPr>
        <w:t>El sobre deberá contener:</w:t>
      </w:r>
    </w:p>
    <w:p>
      <w:pPr>
        <w:pStyle w:val="Normal"/>
        <w:jc w:val="both"/>
        <w:rPr>
          <w:rFonts w:ascii="Tahoma" w:hAnsi="Tahoma" w:cs="Tahoma"/>
          <w:b/>
          <w:u w:val="single"/>
        </w:rPr>
      </w:pPr>
      <w:r>
        <w:rPr>
          <w:rFonts w:cs="Tahoma" w:ascii="Tahoma" w:hAnsi="Tahoma"/>
          <w:b/>
          <w:u w:val="single"/>
        </w:rPr>
        <w:t>Documentación</w:t>
      </w:r>
    </w:p>
    <w:p>
      <w:pPr>
        <w:pStyle w:val="Normal"/>
        <w:numPr>
          <w:ilvl w:val="0"/>
          <w:numId w:val="2"/>
        </w:numPr>
        <w:spacing w:lineRule="auto" w:line="240" w:before="0" w:after="0"/>
        <w:ind w:hanging="0" w:left="0"/>
        <w:contextualSpacing/>
        <w:jc w:val="both"/>
        <w:rPr>
          <w:rFonts w:ascii="Tahoma" w:hAnsi="Tahoma"/>
        </w:rPr>
      </w:pPr>
      <w:r>
        <w:rPr>
          <w:rFonts w:cs="Tahoma" w:ascii="Tahoma" w:hAnsi="Tahoma"/>
        </w:rPr>
        <w:t>Comprobante de constitución de garantía de oferta.</w:t>
      </w:r>
    </w:p>
    <w:p>
      <w:pPr>
        <w:pStyle w:val="Normal"/>
        <w:numPr>
          <w:ilvl w:val="0"/>
          <w:numId w:val="2"/>
        </w:numPr>
        <w:spacing w:lineRule="auto" w:line="240" w:before="0" w:after="0"/>
        <w:ind w:hanging="0" w:left="0"/>
        <w:contextualSpacing/>
        <w:jc w:val="both"/>
        <w:rPr>
          <w:rFonts w:ascii="Tahoma" w:hAnsi="Tahoma"/>
        </w:rPr>
      </w:pPr>
      <w:r>
        <w:rPr>
          <w:rFonts w:cs="Tahoma" w:ascii="Tahoma" w:hAnsi="Tahoma"/>
        </w:rPr>
        <w:t xml:space="preserve">Nota de constitución de domicilio electrónico a todos los efectos legales de la Licitación, en los términos del art. 125 de la Ley 9.003.  </w:t>
      </w:r>
    </w:p>
    <w:p>
      <w:pPr>
        <w:pStyle w:val="Normal"/>
        <w:numPr>
          <w:ilvl w:val="0"/>
          <w:numId w:val="2"/>
        </w:numPr>
        <w:spacing w:lineRule="auto" w:line="240" w:before="0" w:after="0"/>
        <w:ind w:hanging="0" w:left="0"/>
        <w:contextualSpacing/>
        <w:jc w:val="both"/>
        <w:rPr>
          <w:rFonts w:ascii="Tahoma" w:hAnsi="Tahoma" w:cs="Tahoma"/>
        </w:rPr>
      </w:pPr>
      <w:r>
        <w:rPr>
          <w:rFonts w:ascii="Tahoma" w:hAnsi="Tahoma"/>
        </w:rPr>
        <w:t>Un ejemplar de los pliegos, sus anexos, aclaraciones y demás documentación complementaria de los mismos,</w:t>
      </w:r>
      <w:r>
        <w:rPr>
          <w:rFonts w:ascii="Tahoma" w:hAnsi="Tahoma"/>
          <w:b/>
        </w:rPr>
        <w:t xml:space="preserve"> firmado en todas sus hojas al igual que toda la documentación que se presente.</w:t>
      </w:r>
    </w:p>
    <w:p>
      <w:pPr>
        <w:pStyle w:val="Normal"/>
        <w:numPr>
          <w:ilvl w:val="0"/>
          <w:numId w:val="2"/>
        </w:numPr>
        <w:tabs>
          <w:tab w:val="clear" w:pos="708"/>
          <w:tab w:val="left" w:pos="284" w:leader="none"/>
        </w:tabs>
        <w:spacing w:lineRule="auto" w:line="240" w:before="0" w:after="0"/>
        <w:ind w:hanging="0" w:left="0"/>
        <w:jc w:val="both"/>
        <w:rPr>
          <w:rFonts w:ascii="Tahoma" w:hAnsi="Tahoma" w:cs="Tahoma"/>
        </w:rPr>
      </w:pPr>
      <w:r>
        <w:rPr>
          <w:rFonts w:cs="Tahoma" w:ascii="Tahoma" w:hAnsi="Tahoma"/>
        </w:rPr>
        <w:t>Comprobantes que certifiquen su inscripción</w:t>
      </w:r>
      <w:bookmarkStart w:id="0" w:name="_GoBack"/>
      <w:bookmarkEnd w:id="0"/>
      <w:r>
        <w:rPr>
          <w:rFonts w:cs="Tahoma" w:ascii="Tahoma" w:hAnsi="Tahoma"/>
        </w:rPr>
        <w:t xml:space="preserve"> en los regímenes fiscales nacional y provincial (ARCA y ATM), debiendo al momento de la apertura estar inscripto en la actividad que se presenta.</w:t>
      </w:r>
    </w:p>
    <w:p>
      <w:pPr>
        <w:pStyle w:val="Normal"/>
        <w:tabs>
          <w:tab w:val="clear" w:pos="708"/>
          <w:tab w:val="left" w:pos="284" w:leader="none"/>
        </w:tabs>
        <w:spacing w:lineRule="auto" w:line="240" w:before="0" w:after="0"/>
        <w:ind w:hanging="0" w:left="0"/>
        <w:jc w:val="both"/>
        <w:rPr>
          <w:rFonts w:ascii="Tahoma" w:hAnsi="Tahoma" w:cs="Tahoma"/>
        </w:rPr>
      </w:pPr>
      <w:r>
        <w:rPr>
          <w:rFonts w:cs="Tahoma" w:ascii="Tahoma" w:hAnsi="Tahoma"/>
        </w:rPr>
      </w:r>
    </w:p>
    <w:p>
      <w:pPr>
        <w:pStyle w:val="Normal"/>
        <w:jc w:val="both"/>
        <w:rPr>
          <w:rFonts w:ascii="Tahoma" w:hAnsi="Tahoma"/>
        </w:rPr>
      </w:pPr>
      <w:r>
        <w:rPr>
          <w:rFonts w:ascii="Tahoma" w:hAnsi="Tahoma"/>
          <w:b/>
        </w:rPr>
        <w:t xml:space="preserve">Artículo 7 - </w:t>
      </w:r>
      <w:r>
        <w:rPr>
          <w:rFonts w:ascii="Tahoma" w:hAnsi="Tahoma"/>
          <w:b/>
          <w:i/>
        </w:rPr>
        <w:t>Garantía de adjudicación:</w:t>
      </w:r>
      <w:r>
        <w:rPr>
          <w:rFonts w:ascii="Tahoma" w:hAnsi="Tahoma"/>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condición necesaria para la emisión de la Orden de Compra y el adjudicatario cuenta con cinco (5) días para ello. La no presentación en término de esta garantía faculta a la Municipalidad a obrar de acuerdo con lo dispuesto por el artículo 30 de la Ley 4416.</w:t>
      </w:r>
    </w:p>
    <w:p>
      <w:pPr>
        <w:pStyle w:val="Normal"/>
        <w:spacing w:lineRule="auto" w:line="240" w:before="0" w:after="0"/>
        <w:jc w:val="both"/>
        <w:rPr>
          <w:rFonts w:ascii="Tahoma" w:hAnsi="Tahoma" w:eastAsia="Times New Roman" w:cs="Tahoma"/>
          <w:bCs/>
          <w:iCs/>
          <w:szCs w:val="24"/>
          <w:lang w:val="es-ES_tradnl" w:eastAsia="es-ES"/>
        </w:rPr>
      </w:pPr>
      <w:r>
        <w:rPr>
          <w:rFonts w:eastAsia="Times New Roman" w:cs="Tahoma" w:ascii="Tahoma" w:hAnsi="Tahoma"/>
          <w:b/>
          <w:szCs w:val="24"/>
          <w:lang w:val="es-ES_tradnl" w:eastAsia="es-ES"/>
        </w:rPr>
        <w:t>Artículo 8 –</w:t>
      </w:r>
      <w:r>
        <w:rPr>
          <w:rFonts w:eastAsia="Times New Roman" w:cs="Tahoma" w:ascii="Tahoma" w:hAnsi="Tahoma"/>
          <w:szCs w:val="24"/>
          <w:lang w:val="es-ES_tradnl" w:eastAsia="es-ES"/>
        </w:rPr>
        <w:t xml:space="preserve"> </w:t>
      </w:r>
      <w:r>
        <w:rPr>
          <w:rFonts w:eastAsia="Times New Roman" w:cs="Tahoma" w:ascii="Tahoma" w:hAnsi="Tahoma"/>
          <w:b/>
          <w:i/>
          <w:szCs w:val="24"/>
          <w:lang w:val="es-ES_tradnl" w:eastAsia="es-ES"/>
        </w:rPr>
        <w:t xml:space="preserve">Precios - Entrega:   </w:t>
      </w:r>
      <w:r>
        <w:rPr>
          <w:rFonts w:eastAsia="Times New Roman" w:cs="Tahoma" w:ascii="Tahoma" w:hAnsi="Tahoma"/>
          <w:bCs/>
          <w:iCs/>
          <w:szCs w:val="24"/>
          <w:lang w:val="es-ES_tradnl" w:eastAsia="es-ES"/>
        </w:rPr>
        <w:t>Los precios se entenderán con IVA incluido por los materiales puestos y descargados en los depósitos de Ruta Prov. Nº 34 y Calle Centenario, Villa Tulumaya, Lavalle. Se deberá presentar remito por duplicado.</w:t>
      </w:r>
    </w:p>
    <w:p>
      <w:pPr>
        <w:pStyle w:val="Normal"/>
        <w:spacing w:lineRule="auto" w:line="240" w:before="0" w:after="0"/>
        <w:jc w:val="both"/>
        <w:rPr>
          <w:rFonts w:ascii="Tahoma" w:hAnsi="Tahoma" w:eastAsia="Times New Roman" w:cs="Tahoma"/>
          <w:bCs/>
          <w:iCs/>
          <w:szCs w:val="24"/>
          <w:lang w:val="es-ES_tradnl" w:eastAsia="es-ES"/>
        </w:rPr>
      </w:pPr>
      <w:r>
        <w:rPr>
          <w:rFonts w:cs="Tahoma" w:ascii="Tahoma" w:hAnsi="Tahoma"/>
          <w:lang w:val="es-ES_tradnl"/>
        </w:rPr>
        <w:t xml:space="preserve">Previo a la entrega de los materiales, se deberá comunicar con 24hs de anticipación al siguiente correo electrónico el día y horario aproximado de la entrega: </w:t>
      </w:r>
      <w:hyperlink r:id="rId2">
        <w:r>
          <w:rPr>
            <w:rStyle w:val="Hyperlink"/>
            <w:rFonts w:cs="Tahoma" w:ascii="Tahoma" w:hAnsi="Tahoma"/>
            <w:lang w:val="es-ES_tradnl"/>
          </w:rPr>
          <w:t>auditoria@lavallemendoza.gob.ar</w:t>
        </w:r>
      </w:hyperlink>
      <w:r>
        <w:rPr>
          <w:rFonts w:eastAsia="Times New Roman" w:cs="Tahoma" w:ascii="Tahoma" w:hAnsi="Tahoma"/>
          <w:lang w:val="es-ES_tradnl"/>
        </w:rPr>
        <w:t>.</w:t>
      </w:r>
    </w:p>
    <w:p>
      <w:pPr>
        <w:pStyle w:val="Normal"/>
        <w:spacing w:lineRule="auto" w:line="240" w:before="0" w:after="0"/>
        <w:jc w:val="both"/>
        <w:rPr>
          <w:rFonts w:ascii="Tahoma" w:hAnsi="Tahoma" w:eastAsia="Times New Roman" w:cs="Tahoma"/>
          <w:bCs/>
          <w:iCs/>
          <w:szCs w:val="24"/>
          <w:lang w:val="es-ES_tradnl" w:eastAsia="es-ES"/>
        </w:rPr>
      </w:pPr>
      <w:r>
        <w:rPr>
          <w:rFonts w:eastAsia="Times New Roman" w:cs="Tahoma" w:ascii="Tahoma" w:hAnsi="Tahoma"/>
          <w:bCs/>
          <w:iCs/>
          <w:szCs w:val="24"/>
          <w:lang w:val="es-ES_tradnl" w:eastAsia="es-ES"/>
        </w:rPr>
      </w:r>
    </w:p>
    <w:p>
      <w:pPr>
        <w:pStyle w:val="Normal"/>
        <w:jc w:val="both"/>
        <w:rPr>
          <w:rFonts w:ascii="Tahoma" w:hAnsi="Tahoma" w:cs="Tahoma"/>
          <w:b/>
        </w:rPr>
      </w:pPr>
      <w:r>
        <w:rPr>
          <w:rFonts w:cs="Tahoma" w:ascii="Tahoma" w:hAnsi="Tahoma"/>
          <w:b/>
          <w:bCs/>
        </w:rPr>
        <w:t>Artículo</w:t>
      </w:r>
      <w:r>
        <w:rPr>
          <w:rFonts w:cs="Tahoma" w:ascii="Tahoma" w:hAnsi="Tahoma"/>
          <w:b/>
          <w:bCs/>
          <w:i/>
        </w:rPr>
        <w:t xml:space="preserve"> 9 – Plazos: </w:t>
      </w:r>
      <w:r>
        <w:rPr>
          <w:rFonts w:cs="Tahoma" w:ascii="Tahoma" w:hAnsi="Tahoma"/>
        </w:rPr>
        <w:t xml:space="preserve">Los </w:t>
      </w:r>
      <w:r>
        <w:rPr>
          <w:rFonts w:cs="Tahoma" w:ascii="Tahoma" w:hAnsi="Tahoma"/>
          <w:lang w:val="es-ES_tradnl"/>
        </w:rPr>
        <w:t>materiales</w:t>
      </w:r>
      <w:r>
        <w:rPr>
          <w:rFonts w:cs="Tahoma" w:ascii="Tahoma" w:hAnsi="Tahoma"/>
        </w:rPr>
        <w:t xml:space="preserve"> deberán proveerse dentro de los DIEZ (10) días de notificada la adjudicación. La Orden de Compra deberá ser retirada de la Oficina de Compras y Suministros del municipio, presentando el comprobante de la Garantía de Adjudicación. -</w:t>
      </w:r>
    </w:p>
    <w:p>
      <w:pPr>
        <w:pStyle w:val="Normal"/>
        <w:spacing w:lineRule="auto" w:line="240" w:before="0" w:after="0"/>
        <w:jc w:val="both"/>
        <w:rPr>
          <w:rFonts w:ascii="Tahoma" w:hAnsi="Tahoma" w:eastAsia="Times New Roman" w:cs="Tahoma"/>
          <w:szCs w:val="24"/>
          <w:lang w:eastAsia="es-ES"/>
        </w:rPr>
      </w:pPr>
      <w:r>
        <w:rPr/>
      </w:r>
    </w:p>
    <w:p>
      <w:pPr>
        <w:pStyle w:val="Normal"/>
        <w:spacing w:lineRule="auto" w:line="240" w:before="0" w:after="0"/>
        <w:jc w:val="both"/>
        <w:rPr>
          <w:rFonts w:ascii="Tahoma" w:hAnsi="Tahoma" w:eastAsia="Times New Roman" w:cs="Tahoma"/>
          <w:szCs w:val="24"/>
          <w:lang w:eastAsia="es-ES"/>
        </w:rPr>
      </w:pPr>
      <w:r>
        <w:rPr>
          <w:rFonts w:eastAsia="Times New Roman" w:cs="Tahoma" w:ascii="Tahoma" w:hAnsi="Tahoma"/>
          <w:b/>
          <w:szCs w:val="24"/>
          <w:lang w:val="es-ES_tradnl" w:eastAsia="es-ES"/>
        </w:rPr>
        <w:t xml:space="preserve">Artículo 10 – </w:t>
      </w:r>
      <w:r>
        <w:rPr>
          <w:rFonts w:eastAsia="Times New Roman" w:cs="Tahoma" w:ascii="Tahoma" w:hAnsi="Tahoma"/>
          <w:b/>
          <w:i/>
          <w:szCs w:val="24"/>
          <w:lang w:val="es-ES_tradnl" w:eastAsia="es-ES"/>
        </w:rPr>
        <w:t>Condiciones de Pago:</w:t>
      </w:r>
      <w:r>
        <w:rPr>
          <w:rFonts w:eastAsia="Times New Roman" w:cs="Tahoma" w:ascii="Tahoma" w:hAnsi="Tahoma"/>
          <w:b/>
          <w:szCs w:val="24"/>
          <w:lang w:eastAsia="es-ES"/>
        </w:rPr>
        <w:t xml:space="preserve">  </w:t>
      </w:r>
      <w:r>
        <w:rPr>
          <w:rFonts w:eastAsia="Times New Roman" w:cs="Tahoma" w:ascii="Tahoma" w:hAnsi="Tahoma"/>
          <w:szCs w:val="24"/>
          <w:lang w:eastAsia="es-ES"/>
        </w:rPr>
        <w:t>Previa conformidad de la Municipalidad, el pago será efectuado dentro de los treinta (30) días de la entrega de la totalidad de los materiales adjudicados y presentación de la factura respectiva.</w:t>
      </w:r>
    </w:p>
    <w:p>
      <w:pPr>
        <w:pStyle w:val="Normal"/>
        <w:spacing w:lineRule="auto" w:line="276"/>
        <w:rPr>
          <w:rFonts w:ascii="Tahoma" w:hAnsi="Tahoma" w:eastAsia="Times New Roman" w:cs="Tahoma"/>
          <w:szCs w:val="24"/>
          <w:lang w:eastAsia="es-ES"/>
        </w:rPr>
      </w:pPr>
      <w:r>
        <w:rPr>
          <w:rFonts w:eastAsia="Times New Roman" w:cs="Tahoma" w:ascii="Tahoma" w:hAnsi="Tahoma"/>
          <w:bCs/>
          <w:color w:val="000000"/>
          <w:szCs w:val="24"/>
          <w:lang w:eastAsia="es-ES"/>
        </w:rPr>
        <w:t xml:space="preserve">Debiendo presentar en la oficina de Compras y Suministros la siguiente documentación en formato papel: remito original firmado por la oficina solicitante del presente servicio, constancia de CBU, comprobante de pago de sellado, comprobante de garantía de adjudicación y en formato digital (PDF) la factura original al siguiente correo electrónico: </w:t>
      </w:r>
      <w:hyperlink r:id="rId3">
        <w:r>
          <w:rPr>
            <w:rStyle w:val="Hyperlink"/>
            <w:rFonts w:eastAsia="Times New Roman" w:cs="Tahoma" w:ascii="Tahoma" w:hAnsi="Tahoma"/>
            <w:bCs/>
            <w:szCs w:val="24"/>
            <w:lang w:eastAsia="es-ES"/>
          </w:rPr>
          <w:t>compras@lavallemendoza.gob.ar</w:t>
        </w:r>
      </w:hyperlink>
      <w:r>
        <w:rPr>
          <w:rFonts w:eastAsia="Times New Roman" w:cs="Tahoma" w:ascii="Tahoma" w:hAnsi="Tahoma"/>
          <w:bCs/>
          <w:color w:val="000000"/>
          <w:szCs w:val="24"/>
          <w:lang w:eastAsia="es-ES"/>
        </w:rPr>
        <w:t xml:space="preserve"> .</w:t>
      </w:r>
    </w:p>
    <w:p>
      <w:pPr>
        <w:pStyle w:val="Normal"/>
        <w:jc w:val="both"/>
        <w:rPr>
          <w:rFonts w:ascii="Tahoma" w:hAnsi="Tahoma" w:cs="Tahoma"/>
          <w:color w:val="000000"/>
        </w:rPr>
      </w:pPr>
      <w:r>
        <w:rPr/>
      </w:r>
    </w:p>
    <w:p>
      <w:pPr>
        <w:pStyle w:val="Normal"/>
        <w:jc w:val="both"/>
        <w:rPr>
          <w:rFonts w:ascii="Tahoma" w:hAnsi="Tahoma" w:cs="Tahoma"/>
          <w:color w:val="000000"/>
        </w:rPr>
      </w:pPr>
      <w:r>
        <w:rPr>
          <w:rFonts w:cs="Tahoma" w:ascii="Tahoma" w:hAnsi="Tahoma"/>
          <w:b/>
          <w:color w:val="000000"/>
        </w:rPr>
        <w:t>Artículo 11</w:t>
      </w:r>
      <w:r>
        <w:rPr>
          <w:rFonts w:cs="Tahoma" w:ascii="Tahoma" w:hAnsi="Tahoma"/>
          <w:color w:val="000000"/>
        </w:rPr>
        <w:t xml:space="preserve"> - </w:t>
      </w:r>
      <w:r>
        <w:rPr>
          <w:rFonts w:cs="Tahoma" w:ascii="Tahoma" w:hAnsi="Tahoma"/>
          <w:b/>
          <w:i/>
          <w:color w:val="000000"/>
        </w:rPr>
        <w:t>Régimen jurídico</w:t>
      </w:r>
      <w:r>
        <w:rPr>
          <w:rFonts w:cs="Tahoma" w:ascii="Tahoma" w:hAnsi="Tahoma"/>
          <w:b/>
          <w:color w:val="000000"/>
        </w:rPr>
        <w:t>:</w:t>
      </w:r>
      <w:r>
        <w:rPr>
          <w:rFonts w:cs="Tahoma" w:ascii="Tahoma" w:hAnsi="Tahoma"/>
          <w:color w:val="000000"/>
        </w:rPr>
        <w:t xml:space="preserve"> El alcance de las facultades y obligaciones de la suscripción del contrato entre la Municipalidad y el proponente, luego contratista, serán reglados por la Ley Orgánica de Obras Públicas (4416), sus modificatorias, y Decreto Reglamentario Nº 313/81.-</w:t>
      </w:r>
    </w:p>
    <w:p>
      <w:pPr>
        <w:pStyle w:val="Normal"/>
        <w:spacing w:before="0" w:after="160"/>
        <w:jc w:val="both"/>
        <w:rPr>
          <w:rFonts w:ascii="Tahoma" w:hAnsi="Tahoma"/>
        </w:rPr>
      </w:pPr>
      <w:r>
        <w:rPr>
          <w:rFonts w:ascii="Tahoma" w:hAnsi="Tahoma"/>
        </w:rPr>
      </w:r>
    </w:p>
    <w:sectPr>
      <w:headerReference w:type="default" r:id="rId4"/>
      <w:footerReference w:type="default" r:id="rId5"/>
      <w:type w:val="nextPage"/>
      <w:pgSz w:w="11906" w:h="16838"/>
      <w:pgMar w:left="1701" w:right="1701" w:gutter="0" w:header="708" w:top="1417" w:footer="708" w:bottom="1417"/>
      <w:pgNumType w:start="0"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iffany Lt BT">
    <w:charset w:val="00"/>
    <w:family w:val="roman"/>
    <w:pitch w:val="variable"/>
  </w:font>
  <w:font w:name="Tahoma">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 w:name="Arial Black">
    <w:charset w:val="00"/>
    <w:family w:val="roman"/>
    <w:pitch w:val="variable"/>
  </w:font>
  <w:font w:name="Arial Narrow">
    <w:charset w:val="00"/>
    <w:family w:val="roman"/>
    <w:pitch w:val="variable"/>
  </w:font>
  <w:font w:name="Nunito Black">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aps/>
        <w:color w:themeColor="accent1" w:val="5B9BD5"/>
      </w:rPr>
    </w:pPr>
    <w:r>
      <w:rPr>
        <w:caps/>
        <w:color w:themeColor="accent1" w:val="5B9BD5"/>
      </w:rPr>
      <w:fldChar w:fldCharType="begin"/>
    </w:r>
    <w:r>
      <w:rPr>
        <w:caps/>
        <w:color w:themeColor="accent1" w:val="5B9BD5"/>
      </w:rPr>
      <w:instrText xml:space="preserve"> PAGE </w:instrText>
    </w:r>
    <w:r>
      <w:rPr>
        <w:caps/>
        <w:color w:themeColor="accent1" w:val="5B9BD5"/>
      </w:rPr>
      <w:fldChar w:fldCharType="separate"/>
    </w:r>
    <w:r>
      <w:rPr>
        <w:caps/>
        <w:color w:themeColor="accent1" w:val="5B9BD5"/>
      </w:rPr>
      <w:t>3</w:t>
    </w:r>
    <w:r>
      <w:rPr>
        <w:caps/>
        <w:color w:themeColor="accent1" w:val="5B9BD5"/>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3969" w:leader="none"/>
        <w:tab w:val="center" w:pos="4252" w:leader="none"/>
        <w:tab w:val="left" w:pos="5954" w:leader="none"/>
        <w:tab w:val="right" w:pos="8504" w:leader="none"/>
      </w:tabs>
      <w:spacing w:lineRule="auto" w:line="240" w:before="0" w:after="0"/>
      <w:ind w:right="3259"/>
      <w:rPr>
        <w:rFonts w:ascii="Arial Black" w:hAnsi="Arial Black" w:eastAsia="Times New Roman" w:cs="Times New Roman"/>
        <w:sz w:val="24"/>
        <w:szCs w:val="24"/>
        <w:lang w:eastAsia="es-ES"/>
      </w:rPr>
    </w:pPr>
    <w:r>
      <w:drawing>
        <wp:anchor behindDoc="1" distT="0" distB="0" distL="114300" distR="114300" simplePos="0" locked="0" layoutInCell="0" allowOverlap="1" relativeHeight="9">
          <wp:simplePos x="0" y="0"/>
          <wp:positionH relativeFrom="column">
            <wp:posOffset>4609465</wp:posOffset>
          </wp:positionH>
          <wp:positionV relativeFrom="paragraph">
            <wp:posOffset>-337820</wp:posOffset>
          </wp:positionV>
          <wp:extent cx="1209675" cy="1203325"/>
          <wp:effectExtent l="0" t="0" r="0" b="0"/>
          <wp:wrapSquare wrapText="bothSides"/>
          <wp:docPr id="1"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descr=""/>
                  <pic:cNvPicPr>
                    <a:picLocks noChangeAspect="1" noChangeArrowheads="1"/>
                  </pic:cNvPicPr>
                </pic:nvPicPr>
                <pic:blipFill>
                  <a:blip r:embed="rId1"/>
                  <a:stretch>
                    <a:fillRect/>
                  </a:stretch>
                </pic:blipFill>
                <pic:spPr bwMode="auto">
                  <a:xfrm>
                    <a:off x="0" y="0"/>
                    <a:ext cx="1209675" cy="1203325"/>
                  </a:xfrm>
                  <a:prstGeom prst="rect">
                    <a:avLst/>
                  </a:prstGeom>
                </pic:spPr>
              </pic:pic>
            </a:graphicData>
          </a:graphic>
        </wp:anchor>
      </w:drawing>
    </w:r>
    <w:r>
      <w:rPr>
        <w:rFonts w:eastAsia="Times New Roman" w:cs="Times New Roman" w:ascii="Arial Black" w:hAnsi="Arial Black"/>
        <w:sz w:val="24"/>
        <w:szCs w:val="24"/>
        <w:lang w:eastAsia="es-ES"/>
      </w:rPr>
      <w:t xml:space="preserve">Municipalidad de Lavalle                                        </w:t>
    </w:r>
  </w:p>
  <w:p>
    <w:pPr>
      <w:pStyle w:val="Normal"/>
      <w:tabs>
        <w:tab w:val="clear" w:pos="708"/>
        <w:tab w:val="left" w:pos="3969" w:leader="none"/>
        <w:tab w:val="center" w:pos="4252" w:leader="none"/>
        <w:tab w:val="right" w:pos="8504" w:leader="none"/>
      </w:tabs>
      <w:spacing w:lineRule="auto" w:line="240" w:before="0" w:after="0"/>
      <w:ind w:right="3259"/>
      <w:rPr/>
    </w:pPr>
    <w:r>
      <w:rPr>
        <w:rFonts w:eastAsia="Times New Roman" w:cs="Times New Roman" w:ascii="Arial Narrow" w:hAnsi="Arial Narrow"/>
        <w:b/>
        <w:lang w:eastAsia="es-ES"/>
      </w:rPr>
      <w:t>Dirección de Obras y Servicios Públicos</w:t>
    </w:r>
  </w:p>
  <w:p>
    <w:pPr>
      <w:pStyle w:val="Normal"/>
      <w:tabs>
        <w:tab w:val="clear" w:pos="708"/>
        <w:tab w:val="left" w:pos="3969" w:leader="none"/>
      </w:tabs>
      <w:spacing w:lineRule="auto" w:line="240" w:before="0" w:after="0"/>
      <w:ind w:right="3259"/>
      <w:rPr>
        <w:rFonts w:ascii="Arial" w:hAnsi="Arial" w:eastAsia="Times New Roman" w:cs="Times New Roman"/>
        <w:b/>
        <w:highlight w:val="yellow"/>
        <w:lang w:eastAsia="es-ES"/>
      </w:rPr>
    </w:pPr>
    <w:r>
      <w:rPr>
        <w:rFonts w:eastAsia="Times New Roman" w:cs="Times New Roman" w:ascii="Arial Narrow" w:hAnsi="Arial Narrow"/>
        <w:b/>
        <w:lang w:eastAsia="es-ES"/>
      </w:rPr>
      <w:t>COMPRA DIRECTA –  EXPTE. Nº 2169/2025</w:t>
    </w:r>
    <w:r>
      <w:rPr/>
      <w:t xml:space="preserve">  </w:t>
    </w:r>
    <w:r>
      <w:rPr>
        <w:rFonts w:eastAsia="Times New Roman" w:cs="Times New Roman" w:ascii="Arial Narrow" w:hAnsi="Arial Narrow"/>
        <w:b/>
        <w:lang w:eastAsia="es-ES"/>
      </w:rPr>
      <w:t>RES. Nº 500/25</w:t>
    </w:r>
    <w:r>
      <w:rPr>
        <w:rFonts w:eastAsia="Times New Roman" w:cs="Times New Roman" w:ascii="Tahoma" w:hAnsi="Tahoma"/>
        <w:b/>
        <w:lang w:val="es-AR" w:eastAsia="es-AR"/>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 xml:space="preserve">                                </w:t>
    </w:r>
  </w:p>
  <w:p>
    <w:pPr>
      <w:pStyle w:val="Normal"/>
      <w:tabs>
        <w:tab w:val="clear" w:pos="708"/>
        <w:tab w:val="center" w:pos="4252" w:leader="none"/>
        <w:tab w:val="left" w:pos="6237" w:leader="none"/>
        <w:tab w:val="left" w:pos="6379" w:leader="none"/>
        <w:tab w:val="right" w:pos="8504" w:leader="none"/>
      </w:tabs>
      <w:spacing w:lineRule="auto" w:line="240" w:before="0" w:after="0"/>
      <w:ind w:right="3259"/>
      <w:rPr>
        <w:rFonts w:ascii="Times New Roman" w:hAnsi="Times New Roman" w:eastAsia="Times New Roman" w:cs="Times New Roman"/>
        <w:sz w:val="18"/>
        <w:szCs w:val="24"/>
        <w:highlight w:val="yellow"/>
        <w:lang w:val="es-ES_tradnl" w:eastAsia="es-ES"/>
      </w:rPr>
    </w:pPr>
    <w:r>
      <mc:AlternateContent>
        <mc:Choice Requires="wps">
          <w:drawing>
            <wp:anchor behindDoc="1" distT="14605" distB="14605" distL="14605" distR="14605" simplePos="0" locked="0" layoutInCell="1" allowOverlap="1" relativeHeight="5" wp14:anchorId="4D8A0EC1">
              <wp:simplePos x="0" y="0"/>
              <wp:positionH relativeFrom="column">
                <wp:posOffset>-62865</wp:posOffset>
              </wp:positionH>
              <wp:positionV relativeFrom="paragraph">
                <wp:posOffset>42545</wp:posOffset>
              </wp:positionV>
              <wp:extent cx="3810000" cy="6985"/>
              <wp:effectExtent l="14605" t="14605" r="14605" b="14605"/>
              <wp:wrapNone/>
              <wp:docPr id="2" name="Conector recto 1"/>
              <a:graphic xmlns:a="http://schemas.openxmlformats.org/drawingml/2006/main">
                <a:graphicData uri="http://schemas.microsoft.com/office/word/2010/wordprocessingShape">
                  <wps:wsp>
                    <wps:cNvSpPr/>
                    <wps:spPr>
                      <a:xfrm flipV="1">
                        <a:off x="0" y="0"/>
                        <a:ext cx="3809880" cy="6840"/>
                      </a:xfrm>
                      <a:prstGeom prst="line">
                        <a:avLst/>
                      </a:prstGeom>
                      <a:ln w="28575">
                        <a:solidFill>
                          <a:srgbClr val="000000"/>
                        </a:solidFill>
                        <a:round/>
                      </a:ln>
                    </wps:spPr>
                    <wps:style>
                      <a:lnRef idx="0"/>
                      <a:fillRef idx="0"/>
                      <a:effectRef idx="0"/>
                      <a:fontRef idx="minor"/>
                    </wps:style>
                    <wps:bodyPr/>
                  </wps:wsp>
                </a:graphicData>
              </a:graphic>
            </wp:anchor>
          </w:drawing>
        </mc:Choice>
        <mc:Fallback>
          <w:pict>
            <v:line id="shape_0" from="-4.95pt,3.35pt" to="295pt,3.85pt" ID="Conector recto 1" stroked="t" o:allowincell="f" style="position:absolute;flip:y" wp14:anchorId="4D8A0EC1">
              <v:stroke color="black" weight="28440" joinstyle="round" endcap="flat"/>
              <v:fill o:detectmouseclick="t" on="false"/>
              <w10:wrap type="none"/>
            </v:line>
          </w:pict>
        </mc:Fallback>
      </mc:AlternateContent>
    </w:r>
    <w:r>
      <w:rPr>
        <w:rFonts w:eastAsia="Times New Roman" w:cs="Times New Roman" w:ascii="Times New Roman" w:hAnsi="Times New Roman"/>
        <w:sz w:val="18"/>
        <w:szCs w:val="24"/>
        <w:highlight w:val="yellow"/>
        <w:lang w:val="es-ES_tradnl" w:eastAsia="es-ES"/>
      </w:rPr>
      <w:t xml:space="preserve">           </w:t>
    </w:r>
  </w:p>
  <w:p>
    <w:pPr>
      <w:pStyle w:val="Normal"/>
      <w:tabs>
        <w:tab w:val="clear" w:pos="708"/>
        <w:tab w:val="center" w:pos="4252" w:leader="none"/>
        <w:tab w:val="left" w:pos="6379" w:leader="none"/>
        <w:tab w:val="right" w:pos="8504" w:leader="none"/>
      </w:tabs>
      <w:spacing w:lineRule="auto" w:line="240" w:before="0" w:after="0"/>
      <w:ind w:right="2125"/>
      <w:jc w:val="both"/>
      <w:rPr/>
    </w:pPr>
    <w:r>
      <w:rPr>
        <w:rFonts w:eastAsia="Times New Roman" w:cs="Times New Roman" w:ascii="Arial Narrow" w:hAnsi="Arial Narrow"/>
        <w:b/>
        <w:sz w:val="18"/>
        <w:szCs w:val="24"/>
        <w:lang w:val="es-ES_tradnl" w:eastAsia="es-ES"/>
      </w:rPr>
      <w:t xml:space="preserve">Obra: </w:t>
    </w:r>
    <w:r>
      <w:rPr>
        <w:rFonts w:eastAsia="Times New Roman" w:cs="Times New Roman" w:ascii="Arial Narrow" w:hAnsi="Arial Narrow"/>
        <w:sz w:val="18"/>
        <w:szCs w:val="18"/>
        <w:lang w:eastAsia="es-ES"/>
      </w:rPr>
      <w:t xml:space="preserve">ADQUISICION DE MATERIALES P/ </w:t>
    </w:r>
    <w:r>
      <w:rPr>
        <w:rFonts w:ascii="Arial Narrow" w:hAnsi="Arial Narrow"/>
        <w:sz w:val="18"/>
        <w:szCs w:val="18"/>
      </w:rPr>
      <w:t>RED DISTRIBUIDORA DE AGUA UBICADA EN LA PROLONGACION DE LA CALLE SANTA FE DE TULUMAYA</w:t>
    </w:r>
  </w:p>
  <w:p>
    <w:pPr>
      <w:pStyle w:val="Normal"/>
      <w:tabs>
        <w:tab w:val="clear" w:pos="708"/>
        <w:tab w:val="center" w:pos="4252" w:leader="none"/>
        <w:tab w:val="left" w:pos="6379" w:leader="none"/>
        <w:tab w:val="right" w:pos="8504" w:leader="none"/>
      </w:tabs>
      <w:spacing w:lineRule="auto" w:line="240" w:before="0" w:after="0"/>
      <w:ind w:right="2125"/>
      <w:jc w:val="both"/>
      <w:rPr>
        <w:rFonts w:ascii="Arial Narrow" w:hAnsi="Arial Narrow" w:eastAsia="Times New Roman" w:cs="Times New Roman"/>
        <w:sz w:val="18"/>
        <w:szCs w:val="18"/>
        <w:lang w:val="es-ES_tradnl" w:eastAsia="es-ES"/>
      </w:rPr>
    </w:pPr>
    <w:r>
      <w:rPr>
        <w:rFonts w:eastAsia="Times New Roman" w:cs="Times New Roman" w:ascii="Arial Narrow" w:hAnsi="Arial Narrow"/>
        <w:b/>
        <w:sz w:val="18"/>
        <w:szCs w:val="18"/>
        <w:lang w:val="es-ES_tradnl" w:eastAsia="es-ES"/>
      </w:rPr>
      <w:t>Ubicación:</w:t>
    </w:r>
    <w:r>
      <w:rPr>
        <w:rFonts w:eastAsia="Times New Roman" w:cs="Times New Roman" w:ascii="Arial Narrow" w:hAnsi="Arial Narrow"/>
        <w:sz w:val="18"/>
        <w:szCs w:val="18"/>
        <w:lang w:val="es-ES_tradnl" w:eastAsia="es-ES"/>
      </w:rPr>
      <w:t xml:space="preserve"> DEPARTAMENTO DE LAVALLE.</w:t>
    </w:r>
    <w:r>
      <w:rPr>
        <w:rFonts w:ascii="Nunito Black" w:hAnsi="Nunito Black"/>
        <w:b/>
        <w:color w:val="FFFFFF"/>
        <w:lang w:eastAsia="es-ES_tradnl"/>
      </w:rPr>
      <w:t xml:space="preserve"> </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1065"/>
        </w:tabs>
        <w:ind w:left="1065"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lowerLetter"/>
      <w:lvlText w:val="%1)"/>
      <w:lvlJc w:val="left"/>
      <w:pPr>
        <w:tabs>
          <w:tab w:val="num" w:pos="360"/>
        </w:tabs>
        <w:ind w:left="340" w:hanging="34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s-ES" w:eastAsia="en-US" w:bidi="ar-SA"/>
    </w:rPr>
  </w:style>
  <w:style w:type="paragraph" w:styleId="Heading1">
    <w:name w:val="Heading 1"/>
    <w:basedOn w:val="Normal"/>
    <w:next w:val="Normal"/>
    <w:link w:val="Ttulo1Car"/>
    <w:qFormat/>
    <w:rsid w:val="00490a11"/>
    <w:pPr>
      <w:keepNext w:val="true"/>
      <w:spacing w:lineRule="auto" w:line="240" w:before="0" w:after="0"/>
      <w:jc w:val="center"/>
      <w:outlineLvl w:val="0"/>
    </w:pPr>
    <w:rPr>
      <w:rFonts w:ascii="Times New Roman" w:hAnsi="Times New Roman" w:eastAsia="Times New Roman" w:cs="Times New Roman"/>
      <w:b/>
      <w:color w:val="000000"/>
      <w:sz w:val="24"/>
      <w:szCs w:val="20"/>
      <w:u w:val="single"/>
      <w:lang w:eastAsia="es-ES"/>
    </w:rPr>
  </w:style>
  <w:style w:type="paragraph" w:styleId="Heading2">
    <w:name w:val="Heading 2"/>
    <w:basedOn w:val="Normal"/>
    <w:next w:val="Normal"/>
    <w:link w:val="Ttulo2Car"/>
    <w:qFormat/>
    <w:rsid w:val="00490a11"/>
    <w:pPr>
      <w:keepNext w:val="true"/>
      <w:spacing w:lineRule="auto" w:line="240" w:before="0" w:after="0"/>
      <w:jc w:val="center"/>
      <w:outlineLvl w:val="1"/>
    </w:pPr>
    <w:rPr>
      <w:rFonts w:ascii="Times New Roman" w:hAnsi="Times New Roman" w:eastAsia="Times New Roman" w:cs="Times New Roman"/>
      <w:b/>
      <w:color w:val="000000"/>
      <w:sz w:val="24"/>
      <w:szCs w:val="20"/>
      <w:lang w:eastAsia="es-ES"/>
    </w:rPr>
  </w:style>
  <w:style w:type="paragraph" w:styleId="Heading3">
    <w:name w:val="Heading 3"/>
    <w:basedOn w:val="Normal"/>
    <w:next w:val="Normal"/>
    <w:link w:val="Ttulo3Car"/>
    <w:qFormat/>
    <w:rsid w:val="00490a11"/>
    <w:pPr>
      <w:keepNext w:val="true"/>
      <w:spacing w:lineRule="auto" w:line="240" w:before="0" w:after="0"/>
      <w:jc w:val="center"/>
      <w:outlineLvl w:val="2"/>
    </w:pPr>
    <w:rPr>
      <w:rFonts w:ascii="Times New Roman" w:hAnsi="Times New Roman" w:eastAsia="Times New Roman" w:cs="Times New Roman"/>
      <w:b/>
      <w:sz w:val="24"/>
      <w:szCs w:val="20"/>
      <w:lang w:eastAsia="es-ES"/>
    </w:rPr>
  </w:style>
  <w:style w:type="paragraph" w:styleId="Heading4">
    <w:name w:val="Heading 4"/>
    <w:basedOn w:val="Normal"/>
    <w:next w:val="Normal"/>
    <w:link w:val="Ttulo4Car"/>
    <w:qFormat/>
    <w:rsid w:val="00490a11"/>
    <w:pPr>
      <w:keepNext w:val="true"/>
      <w:spacing w:lineRule="auto" w:line="240" w:before="0" w:after="0"/>
      <w:jc w:val="both"/>
      <w:outlineLvl w:val="3"/>
    </w:pPr>
    <w:rPr>
      <w:rFonts w:ascii="Times New Roman" w:hAnsi="Times New Roman" w:eastAsia="Times New Roman" w:cs="Times New Roman"/>
      <w:sz w:val="24"/>
      <w:szCs w:val="20"/>
      <w:lang w:eastAsia="es-ES"/>
    </w:rPr>
  </w:style>
  <w:style w:type="paragraph" w:styleId="Heading5">
    <w:name w:val="Heading 5"/>
    <w:basedOn w:val="Normal"/>
    <w:next w:val="Normal"/>
    <w:link w:val="Ttulo5Car"/>
    <w:qFormat/>
    <w:rsid w:val="00490a11"/>
    <w:pPr>
      <w:keepNext w:val="true"/>
      <w:spacing w:lineRule="auto" w:line="240" w:before="0" w:after="0"/>
      <w:outlineLvl w:val="4"/>
    </w:pPr>
    <w:rPr>
      <w:rFonts w:ascii="Tiffany Lt BT" w:hAnsi="Tiffany Lt BT" w:eastAsia="Times New Roman" w:cs="Times New Roman"/>
      <w:b/>
      <w:color w:val="000000"/>
      <w:sz w:val="24"/>
      <w:szCs w:val="20"/>
      <w:lang w:eastAsia="es-ES"/>
    </w:rPr>
  </w:style>
  <w:style w:type="paragraph" w:styleId="Heading6">
    <w:name w:val="Heading 6"/>
    <w:basedOn w:val="Normal"/>
    <w:next w:val="Normal"/>
    <w:link w:val="Ttulo6Car"/>
    <w:qFormat/>
    <w:rsid w:val="00490a11"/>
    <w:pPr>
      <w:keepNext w:val="true"/>
      <w:pBdr>
        <w:top w:val="single" w:sz="4" w:space="1" w:color="000000"/>
        <w:left w:val="single" w:sz="4" w:space="4" w:color="000000"/>
        <w:bottom w:val="single" w:sz="4" w:space="1" w:color="000000"/>
        <w:right w:val="single" w:sz="4" w:space="4" w:color="000000"/>
      </w:pBdr>
      <w:spacing w:lineRule="auto" w:line="240" w:before="0" w:after="0"/>
      <w:jc w:val="center"/>
      <w:outlineLvl w:val="5"/>
    </w:pPr>
    <w:rPr>
      <w:rFonts w:ascii="Tahoma" w:hAnsi="Tahoma" w:eastAsia="Times New Roman" w:cs="Times New Roman"/>
      <w:color w:val="000000"/>
      <w:sz w:val="30"/>
      <w:szCs w:val="20"/>
      <w:lang w:val="es-ES_tradnl" w:eastAsia="es-ES"/>
    </w:rPr>
  </w:style>
  <w:style w:type="paragraph" w:styleId="Heading7">
    <w:name w:val="Heading 7"/>
    <w:basedOn w:val="Normal"/>
    <w:next w:val="Normal"/>
    <w:link w:val="Ttulo7Car"/>
    <w:qFormat/>
    <w:rsid w:val="00490a11"/>
    <w:pPr>
      <w:keepNext w:val="true"/>
      <w:spacing w:lineRule="auto" w:line="240" w:before="0" w:after="0"/>
      <w:jc w:val="right"/>
      <w:outlineLvl w:val="6"/>
    </w:pPr>
    <w:rPr>
      <w:rFonts w:ascii="Arial" w:hAnsi="Arial" w:eastAsia="Times New Roman" w:cs="Times New Roman"/>
      <w:b/>
      <w:color w:val="000000"/>
      <w:szCs w:val="24"/>
      <w:lang w:eastAsia="es-ES"/>
    </w:rPr>
  </w:style>
  <w:style w:type="paragraph" w:styleId="Heading8">
    <w:name w:val="Heading 8"/>
    <w:basedOn w:val="Normal"/>
    <w:next w:val="Normal"/>
    <w:link w:val="Ttulo8Car"/>
    <w:qFormat/>
    <w:rsid w:val="00490a11"/>
    <w:pPr>
      <w:keepNext w:val="true"/>
      <w:pBdr>
        <w:top w:val="double" w:sz="4" w:space="0" w:color="800000"/>
        <w:left w:val="double" w:sz="4" w:space="4" w:color="800000"/>
        <w:bottom w:val="double" w:sz="4" w:space="1" w:color="800000"/>
        <w:right w:val="double" w:sz="4" w:space="4" w:color="800000"/>
      </w:pBdr>
      <w:spacing w:lineRule="auto" w:line="240" w:before="0" w:after="0"/>
      <w:jc w:val="center"/>
      <w:outlineLvl w:val="7"/>
    </w:pPr>
    <w:rPr>
      <w:rFonts w:ascii="Tahoma" w:hAnsi="Tahoma" w:eastAsia="Times New Roman" w:cs="Times New Roman"/>
      <w:b/>
      <w:imprint/>
      <w:sz w:val="24"/>
      <w:szCs w:val="24"/>
      <w:lang w:eastAsia="es-ES"/>
    </w:rPr>
  </w:style>
  <w:style w:type="paragraph" w:styleId="Heading9">
    <w:name w:val="Heading 9"/>
    <w:basedOn w:val="Normal"/>
    <w:next w:val="Normal"/>
    <w:link w:val="Ttulo9Car"/>
    <w:qFormat/>
    <w:rsid w:val="00490a11"/>
    <w:pPr>
      <w:keepNext w:val="true"/>
      <w:spacing w:lineRule="auto" w:line="240" w:before="0" w:after="0"/>
      <w:jc w:val="center"/>
      <w:outlineLvl w:val="8"/>
    </w:pPr>
    <w:rPr>
      <w:rFonts w:ascii="Arial" w:hAnsi="Arial" w:eastAsia="Times New Roman" w:cs="Arial"/>
      <w:b/>
      <w:bCs/>
      <w:sz w:val="20"/>
      <w:szCs w:val="20"/>
      <w:lang w:eastAsia="es-ES"/>
    </w:rPr>
  </w:style>
  <w:style w:type="character" w:styleId="DefaultParagraphFont" w:default="1">
    <w:name w:val="Default Paragraph Font"/>
    <w:uiPriority w:val="1"/>
    <w:semiHidden/>
    <w:unhideWhenUsed/>
    <w:qFormat/>
    <w:rPr/>
  </w:style>
  <w:style w:type="character" w:styleId="Ttulo1Car" w:customStyle="1">
    <w:name w:val="Título 1 Car"/>
    <w:basedOn w:val="DefaultParagraphFont"/>
    <w:qFormat/>
    <w:rsid w:val="00490a11"/>
    <w:rPr>
      <w:rFonts w:ascii="Times New Roman" w:hAnsi="Times New Roman" w:eastAsia="Times New Roman" w:cs="Times New Roman"/>
      <w:b/>
      <w:color w:val="000000"/>
      <w:sz w:val="24"/>
      <w:szCs w:val="20"/>
      <w:u w:val="single"/>
      <w:lang w:eastAsia="es-ES"/>
    </w:rPr>
  </w:style>
  <w:style w:type="character" w:styleId="Ttulo2Car" w:customStyle="1">
    <w:name w:val="Título 2 Car"/>
    <w:basedOn w:val="DefaultParagraphFont"/>
    <w:qFormat/>
    <w:rsid w:val="00490a11"/>
    <w:rPr>
      <w:rFonts w:ascii="Times New Roman" w:hAnsi="Times New Roman" w:eastAsia="Times New Roman" w:cs="Times New Roman"/>
      <w:b/>
      <w:color w:val="000000"/>
      <w:sz w:val="24"/>
      <w:szCs w:val="20"/>
      <w:lang w:eastAsia="es-ES"/>
    </w:rPr>
  </w:style>
  <w:style w:type="character" w:styleId="Ttulo3Car" w:customStyle="1">
    <w:name w:val="Título 3 Car"/>
    <w:basedOn w:val="DefaultParagraphFont"/>
    <w:qFormat/>
    <w:rsid w:val="00490a11"/>
    <w:rPr>
      <w:rFonts w:ascii="Times New Roman" w:hAnsi="Times New Roman" w:eastAsia="Times New Roman" w:cs="Times New Roman"/>
      <w:b/>
      <w:sz w:val="24"/>
      <w:szCs w:val="20"/>
      <w:lang w:eastAsia="es-ES"/>
    </w:rPr>
  </w:style>
  <w:style w:type="character" w:styleId="Ttulo4Car" w:customStyle="1">
    <w:name w:val="Título 4 Car"/>
    <w:basedOn w:val="DefaultParagraphFont"/>
    <w:qFormat/>
    <w:rsid w:val="00490a11"/>
    <w:rPr>
      <w:rFonts w:ascii="Times New Roman" w:hAnsi="Times New Roman" w:eastAsia="Times New Roman" w:cs="Times New Roman"/>
      <w:sz w:val="24"/>
      <w:szCs w:val="20"/>
      <w:lang w:eastAsia="es-ES"/>
    </w:rPr>
  </w:style>
  <w:style w:type="character" w:styleId="Ttulo5Car" w:customStyle="1">
    <w:name w:val="Título 5 Car"/>
    <w:basedOn w:val="DefaultParagraphFont"/>
    <w:qFormat/>
    <w:rsid w:val="00490a11"/>
    <w:rPr>
      <w:rFonts w:ascii="Tiffany Lt BT" w:hAnsi="Tiffany Lt BT" w:eastAsia="Times New Roman" w:cs="Times New Roman"/>
      <w:b/>
      <w:color w:val="000000"/>
      <w:sz w:val="24"/>
      <w:szCs w:val="20"/>
      <w:lang w:eastAsia="es-ES"/>
    </w:rPr>
  </w:style>
  <w:style w:type="character" w:styleId="Ttulo6Car" w:customStyle="1">
    <w:name w:val="Título 6 Car"/>
    <w:basedOn w:val="DefaultParagraphFont"/>
    <w:qFormat/>
    <w:rsid w:val="00490a11"/>
    <w:rPr>
      <w:rFonts w:ascii="Tahoma" w:hAnsi="Tahoma" w:eastAsia="Times New Roman" w:cs="Times New Roman"/>
      <w:color w:val="000000"/>
      <w:sz w:val="30"/>
      <w:szCs w:val="20"/>
      <w:lang w:val="es-ES_tradnl" w:eastAsia="es-ES"/>
    </w:rPr>
  </w:style>
  <w:style w:type="character" w:styleId="Ttulo7Car" w:customStyle="1">
    <w:name w:val="Título 7 Car"/>
    <w:basedOn w:val="DefaultParagraphFont"/>
    <w:qFormat/>
    <w:rsid w:val="00490a11"/>
    <w:rPr>
      <w:rFonts w:ascii="Arial" w:hAnsi="Arial" w:eastAsia="Times New Roman" w:cs="Times New Roman"/>
      <w:b/>
      <w:color w:val="000000"/>
      <w:szCs w:val="24"/>
      <w:lang w:eastAsia="es-ES"/>
    </w:rPr>
  </w:style>
  <w:style w:type="character" w:styleId="Ttulo8Car" w:customStyle="1">
    <w:name w:val="Título 8 Car"/>
    <w:basedOn w:val="DefaultParagraphFont"/>
    <w:qFormat/>
    <w:rsid w:val="00490a11"/>
    <w:rPr>
      <w:rFonts w:ascii="Tahoma" w:hAnsi="Tahoma" w:eastAsia="Times New Roman" w:cs="Times New Roman"/>
      <w:b/>
      <w:imprint/>
      <w:sz w:val="24"/>
      <w:szCs w:val="24"/>
      <w:lang w:eastAsia="es-ES"/>
    </w:rPr>
  </w:style>
  <w:style w:type="character" w:styleId="Ttulo9Car" w:customStyle="1">
    <w:name w:val="Título 9 Car"/>
    <w:basedOn w:val="DefaultParagraphFont"/>
    <w:qFormat/>
    <w:rsid w:val="00490a11"/>
    <w:rPr>
      <w:rFonts w:ascii="Arial" w:hAnsi="Arial" w:eastAsia="Times New Roman" w:cs="Arial"/>
      <w:b/>
      <w:bCs/>
      <w:sz w:val="20"/>
      <w:szCs w:val="20"/>
      <w:lang w:eastAsia="es-ES"/>
    </w:rPr>
  </w:style>
  <w:style w:type="character" w:styleId="Textoindependiente2Car" w:customStyle="1">
    <w:name w:val="Texto independiente 2 Car"/>
    <w:basedOn w:val="DefaultParagraphFont"/>
    <w:link w:val="BodyText2"/>
    <w:semiHidden/>
    <w:qFormat/>
    <w:rsid w:val="00490a11"/>
    <w:rPr>
      <w:rFonts w:ascii="Times New Roman" w:hAnsi="Times New Roman" w:eastAsia="Times New Roman" w:cs="Times New Roman"/>
      <w:color w:val="000000"/>
      <w:sz w:val="24"/>
      <w:szCs w:val="20"/>
      <w:lang w:eastAsia="es-ES"/>
    </w:rPr>
  </w:style>
  <w:style w:type="character" w:styleId="TextoindependienteCar" w:customStyle="1">
    <w:name w:val="Texto independiente Car"/>
    <w:basedOn w:val="DefaultParagraphFont"/>
    <w:semiHidden/>
    <w:qFormat/>
    <w:rsid w:val="00490a11"/>
    <w:rPr>
      <w:rFonts w:ascii="Times New Roman" w:hAnsi="Times New Roman" w:eastAsia="Times New Roman" w:cs="Times New Roman"/>
      <w:sz w:val="24"/>
      <w:szCs w:val="20"/>
      <w:vertAlign w:val="superscript"/>
      <w:lang w:val="es-ES_tradnl" w:eastAsia="es-ES"/>
    </w:rPr>
  </w:style>
  <w:style w:type="character" w:styleId="Textoindependiente3Car" w:customStyle="1">
    <w:name w:val="Texto independiente 3 Car"/>
    <w:basedOn w:val="DefaultParagraphFont"/>
    <w:link w:val="BodyText3"/>
    <w:semiHidden/>
    <w:qFormat/>
    <w:rsid w:val="00490a11"/>
    <w:rPr>
      <w:rFonts w:ascii="Tahoma" w:hAnsi="Tahoma" w:eastAsia="Times New Roman" w:cs="Times New Roman"/>
      <w:b/>
      <w:bCs/>
      <w:szCs w:val="24"/>
      <w:lang w:eastAsia="es-ES"/>
    </w:rPr>
  </w:style>
  <w:style w:type="character" w:styleId="EncabezadoCar" w:customStyle="1">
    <w:name w:val="Encabezado Car"/>
    <w:basedOn w:val="DefaultParagraphFont"/>
    <w:uiPriority w:val="99"/>
    <w:qFormat/>
    <w:rsid w:val="00c25539"/>
    <w:rPr/>
  </w:style>
  <w:style w:type="character" w:styleId="PiedepginaCar" w:customStyle="1">
    <w:name w:val="Pie de página Car"/>
    <w:basedOn w:val="DefaultParagraphFont"/>
    <w:uiPriority w:val="99"/>
    <w:qFormat/>
    <w:rsid w:val="00c25539"/>
    <w:rPr/>
  </w:style>
  <w:style w:type="character" w:styleId="TextodegloboCar" w:customStyle="1">
    <w:name w:val="Texto de globo Car"/>
    <w:basedOn w:val="DefaultParagraphFont"/>
    <w:link w:val="BalloonText"/>
    <w:uiPriority w:val="99"/>
    <w:semiHidden/>
    <w:qFormat/>
    <w:rsid w:val="00040bde"/>
    <w:rPr>
      <w:rFonts w:ascii="Segoe UI" w:hAnsi="Segoe UI" w:cs="Segoe UI"/>
      <w:sz w:val="18"/>
      <w:szCs w:val="18"/>
    </w:rPr>
  </w:style>
  <w:style w:type="character" w:styleId="Hyperlink">
    <w:name w:val="Hyperlink"/>
    <w:rPr>
      <w:color w:val="000080"/>
      <w:u w:val="single"/>
    </w:rPr>
  </w:style>
  <w:style w:type="paragraph" w:styleId="Ttulo" w:customStyle="1">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xtoindependienteCar"/>
    <w:semiHidden/>
    <w:rsid w:val="00490a11"/>
    <w:pPr>
      <w:spacing w:lineRule="auto" w:line="240" w:before="0" w:after="120"/>
    </w:pPr>
    <w:rPr>
      <w:rFonts w:ascii="Times New Roman" w:hAnsi="Times New Roman" w:eastAsia="Times New Roman" w:cs="Times New Roman"/>
      <w:sz w:val="24"/>
      <w:szCs w:val="20"/>
      <w:vertAlign w:val="superscript"/>
      <w:lang w:val="es-ES_tradnl" w:eastAsia="es-ES"/>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Caption1">
    <w:name w:val="caption1"/>
    <w:basedOn w:val="Normal"/>
    <w:qFormat/>
    <w:pPr>
      <w:suppressLineNumbers/>
      <w:spacing w:before="120" w:after="120"/>
    </w:pPr>
    <w:rPr>
      <w:rFonts w:cs="Arial"/>
      <w:i/>
      <w:iCs/>
      <w:sz w:val="24"/>
      <w:szCs w:val="24"/>
    </w:rPr>
  </w:style>
  <w:style w:type="paragraph" w:styleId="BodyText2">
    <w:name w:val="Body Text 2"/>
    <w:basedOn w:val="Normal"/>
    <w:link w:val="Textoindependiente2Car"/>
    <w:semiHidden/>
    <w:qFormat/>
    <w:rsid w:val="00490a11"/>
    <w:pPr>
      <w:spacing w:lineRule="auto" w:line="240" w:before="0" w:after="0"/>
      <w:jc w:val="both"/>
    </w:pPr>
    <w:rPr>
      <w:rFonts w:ascii="Times New Roman" w:hAnsi="Times New Roman" w:eastAsia="Times New Roman" w:cs="Times New Roman"/>
      <w:color w:val="000000"/>
      <w:sz w:val="24"/>
      <w:szCs w:val="20"/>
      <w:lang w:eastAsia="es-ES"/>
    </w:rPr>
  </w:style>
  <w:style w:type="paragraph" w:styleId="BodyText3">
    <w:name w:val="Body Text 3"/>
    <w:basedOn w:val="Normal"/>
    <w:link w:val="Textoindependiente3Car"/>
    <w:semiHidden/>
    <w:qFormat/>
    <w:rsid w:val="00490a11"/>
    <w:pPr>
      <w:tabs>
        <w:tab w:val="clear" w:pos="708"/>
        <w:tab w:val="left" w:pos="426" w:leader="none"/>
      </w:tabs>
      <w:spacing w:lineRule="auto" w:line="240" w:before="0" w:after="0"/>
      <w:jc w:val="both"/>
    </w:pPr>
    <w:rPr>
      <w:rFonts w:ascii="Tahoma" w:hAnsi="Tahoma" w:eastAsia="Times New Roman" w:cs="Times New Roman"/>
      <w:b/>
      <w:bCs/>
      <w:szCs w:val="24"/>
      <w:lang w:eastAsia="es-ES"/>
    </w:rPr>
  </w:style>
  <w:style w:type="paragraph" w:styleId="Cabeceraypie" w:customStyle="1">
    <w:name w:val="Cabecera y pie"/>
    <w:basedOn w:val="Normal"/>
    <w:qFormat/>
    <w:pPr/>
    <w:rPr/>
  </w:style>
  <w:style w:type="paragraph" w:styleId="Header">
    <w:name w:val="Header"/>
    <w:basedOn w:val="Normal"/>
    <w:link w:val="EncabezadoCar"/>
    <w:uiPriority w:val="99"/>
    <w:unhideWhenUsed/>
    <w:rsid w:val="00c25539"/>
    <w:pPr>
      <w:tabs>
        <w:tab w:val="clear" w:pos="708"/>
        <w:tab w:val="center" w:pos="4252" w:leader="none"/>
        <w:tab w:val="right" w:pos="8504" w:leader="none"/>
      </w:tabs>
      <w:spacing w:lineRule="auto" w:line="240" w:before="0" w:after="0"/>
    </w:pPr>
    <w:rPr/>
  </w:style>
  <w:style w:type="paragraph" w:styleId="Footer">
    <w:name w:val="Footer"/>
    <w:basedOn w:val="Normal"/>
    <w:link w:val="PiedepginaCar"/>
    <w:uiPriority w:val="99"/>
    <w:unhideWhenUsed/>
    <w:rsid w:val="00c25539"/>
    <w:pPr>
      <w:tabs>
        <w:tab w:val="clear" w:pos="708"/>
        <w:tab w:val="center" w:pos="4252" w:leader="none"/>
        <w:tab w:val="right" w:pos="8504" w:leader="none"/>
      </w:tabs>
      <w:spacing w:lineRule="auto" w:line="240" w:before="0" w:after="0"/>
    </w:pPr>
    <w:rPr/>
  </w:style>
  <w:style w:type="paragraph" w:styleId="ListParagraph">
    <w:name w:val="List Paragraph"/>
    <w:basedOn w:val="Normal"/>
    <w:uiPriority w:val="34"/>
    <w:qFormat/>
    <w:rsid w:val="00040bde"/>
    <w:pPr>
      <w:spacing w:before="0" w:after="160"/>
      <w:ind w:left="720"/>
      <w:contextualSpacing/>
    </w:pPr>
    <w:rPr/>
  </w:style>
  <w:style w:type="paragraph" w:styleId="BalloonText">
    <w:name w:val="Balloon Text"/>
    <w:basedOn w:val="Normal"/>
    <w:link w:val="TextodegloboCar"/>
    <w:uiPriority w:val="99"/>
    <w:semiHidden/>
    <w:unhideWhenUsed/>
    <w:qFormat/>
    <w:rsid w:val="00040bde"/>
    <w:pPr>
      <w:spacing w:lineRule="auto" w:line="240" w:before="0" w:after="0"/>
    </w:pPr>
    <w:rPr>
      <w:rFonts w:ascii="Segoe UI" w:hAnsi="Segoe UI" w:cs="Segoe UI"/>
      <w:sz w:val="18"/>
      <w:szCs w:val="18"/>
    </w:rPr>
  </w:style>
  <w:style w:type="paragraph" w:styleId="Contenidodelmarco" w:customStyle="1">
    <w:name w:val="Contenido del marco"/>
    <w:basedOn w:val="Normal"/>
    <w:qFormat/>
    <w:pPr/>
    <w:rPr/>
  </w:style>
  <w:style w:type="numbering" w:styleId="NoList" w:default="1">
    <w:name w:val="No List"/>
    <w:uiPriority w:val="99"/>
    <w:semiHidden/>
    <w:unhideWhenUsed/>
    <w:qFormat/>
  </w:style>
  <w:style w:type="numbering" w:styleId="Sinlista1" w:customStyle="1">
    <w:name w:val="Sin lista1"/>
    <w:uiPriority w:val="99"/>
    <w:semiHidden/>
    <w:unhideWhenUsed/>
    <w:qFormat/>
    <w:rsid w:val="00490a11"/>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uditoria@lavallemendoza.gob.ar" TargetMode="External"/><Relationship Id="rId3" Type="http://schemas.openxmlformats.org/officeDocument/2006/relationships/hyperlink" Target="mailto:compras@lavallemendoza.gob.ar"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215</TotalTime>
  <Application>LibreOffice/7.6.4.1$Windows_x86 LibreOffice_project/e19e193f88cd6c0525a17fb7a176ed8e6a3e2aa1</Application>
  <AppVersion>15.0000</AppVersion>
  <Pages>4</Pages>
  <Words>823</Words>
  <Characters>4339</Characters>
  <CharactersWithSpaces>5255</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2018-02-09T13:50:00Z</dcterms:created>
  <dc:creator>Compras</dc:creator>
  <dc:description/>
  <dc:language>es-AR</dc:language>
  <cp:lastModifiedBy/>
  <cp:lastPrinted>2025-05-14T08:39:04Z</cp:lastPrinted>
  <dcterms:modified xsi:type="dcterms:W3CDTF">2025-05-14T09:39:02Z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file>